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💶 Annex E – Funding Scenarios</w:t>
      </w:r>
    </w:p>
    <w:p>
      <w:r>
        <w:t>Methodology: Comparative modelling of three funding structures — Equity, Blended, and Staged — each tested against Terra Vita’s 5‑year projections. All scenarios are pre‑launch estimates, not commitments.</w:t>
      </w:r>
    </w:p>
    <w:p>
      <w:r>
        <w:t>Funding Scenarios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Structure</w:t>
            </w:r>
          </w:p>
        </w:tc>
        <w:tc>
          <w:tcPr>
            <w:tcW w:type="dxa" w:w="2160"/>
          </w:tcPr>
          <w:p>
            <w:r>
              <w:t>Capital Structure</w:t>
            </w:r>
          </w:p>
        </w:tc>
        <w:tc>
          <w:tcPr>
            <w:tcW w:type="dxa" w:w="2160"/>
          </w:tcPr>
          <w:p>
            <w:r>
              <w:t>IRR (Base)</w:t>
            </w:r>
          </w:p>
        </w:tc>
        <w:tc>
          <w:tcPr>
            <w:tcW w:type="dxa" w:w="2160"/>
          </w:tcPr>
          <w:p>
            <w:r>
              <w:t>Payback</w:t>
            </w:r>
          </w:p>
        </w:tc>
      </w:tr>
      <w:tr>
        <w:tc>
          <w:tcPr>
            <w:tcW w:type="dxa" w:w="2160"/>
          </w:tcPr>
          <w:p>
            <w:r>
              <w:t>Equity Seed</w:t>
            </w:r>
          </w:p>
        </w:tc>
        <w:tc>
          <w:tcPr>
            <w:tcW w:type="dxa" w:w="2160"/>
          </w:tcPr>
          <w:p>
            <w:r>
              <w:t>€350k equity</w:t>
            </w:r>
          </w:p>
        </w:tc>
        <w:tc>
          <w:tcPr>
            <w:tcW w:type="dxa" w:w="2160"/>
          </w:tcPr>
          <w:p>
            <w:r>
              <w:t>~22%</w:t>
            </w:r>
          </w:p>
        </w:tc>
        <w:tc>
          <w:tcPr>
            <w:tcW w:type="dxa" w:w="2160"/>
          </w:tcPr>
          <w:p>
            <w:r>
              <w:t>&lt; 2 yrs</w:t>
            </w:r>
          </w:p>
        </w:tc>
      </w:tr>
      <w:tr>
        <w:tc>
          <w:tcPr>
            <w:tcW w:type="dxa" w:w="2160"/>
          </w:tcPr>
          <w:p>
            <w:r>
              <w:t>Blended</w:t>
            </w:r>
          </w:p>
        </w:tc>
        <w:tc>
          <w:tcPr>
            <w:tcW w:type="dxa" w:w="2160"/>
          </w:tcPr>
          <w:p>
            <w:r>
              <w:t>€200k equity + €150k soft loan</w:t>
            </w:r>
          </w:p>
        </w:tc>
        <w:tc>
          <w:tcPr>
            <w:tcW w:type="dxa" w:w="2160"/>
          </w:tcPr>
          <w:p>
            <w:r>
              <w:t>~20%</w:t>
            </w:r>
          </w:p>
        </w:tc>
        <w:tc>
          <w:tcPr>
            <w:tcW w:type="dxa" w:w="2160"/>
          </w:tcPr>
          <w:p>
            <w:r>
              <w:t>~2.2 yrs</w:t>
            </w:r>
          </w:p>
        </w:tc>
      </w:tr>
      <w:tr>
        <w:tc>
          <w:tcPr>
            <w:tcW w:type="dxa" w:w="2160"/>
          </w:tcPr>
          <w:p>
            <w:r>
              <w:t>Staged</w:t>
            </w:r>
          </w:p>
        </w:tc>
        <w:tc>
          <w:tcPr>
            <w:tcW w:type="dxa" w:w="2160"/>
          </w:tcPr>
          <w:p>
            <w:r>
              <w:t>€200k equity (Y1) + €150k expansion (Y2)</w:t>
            </w:r>
          </w:p>
        </w:tc>
        <w:tc>
          <w:tcPr>
            <w:tcW w:type="dxa" w:w="2160"/>
          </w:tcPr>
          <w:p>
            <w:r>
              <w:t>~24%</w:t>
            </w:r>
          </w:p>
        </w:tc>
        <w:tc>
          <w:tcPr>
            <w:tcW w:type="dxa" w:w="2160"/>
          </w:tcPr>
          <w:p>
            <w:r>
              <w:t>~1.8 yrs</w:t>
            </w:r>
          </w:p>
        </w:tc>
      </w:tr>
    </w:tbl>
    <w:p>
      <w:r>
        <w:t>Key View: Terra Vita offers flexible structures with no hidden pivots. Each option balances investor appetite for risk, dilution, and return.</w:t>
      </w:r>
    </w:p>
    <w:p>
      <w:r>
        <w:t>Investor Logic</w:t>
      </w:r>
    </w:p>
    <w:p>
      <w:r>
        <w:t>Equity Seed: Straightforward, transparent, and attractive for early‑stage impact investors seeking simplicity.</w:t>
      </w:r>
    </w:p>
    <w:p>
      <w:r>
        <w:t>Blended: Appeals to investors who prefer reduced dilution and are comfortable with a debt component.</w:t>
      </w:r>
    </w:p>
    <w:p>
      <w:r>
        <w:t>Staged: Ideal for milestone‑driven investors who want to see proof of execution before committing full capital.</w:t>
      </w:r>
    </w:p>
    <w:p>
      <w:r>
        <w:t>Visuals</w:t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_ir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_paybac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